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commentsExtensible.xml" ContentType="application/vnd.openxmlformats-officedocument.wordprocessingml.commentsExtensi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812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Приложение к приказу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5812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№ 54-п от 03.09.2026 г.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Положение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об Оренбургском областном конкурсе музейных проектов в 2026 году</w:t>
        <w:br/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1. Общие положения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Настоящее положение определяет порядок ор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ганизации и условия проведения Оренбургского областного конкурса музейных проектов в 2026 году (далее — Конкурс) среди муниципальных музеев и музеев, входящих в состав муниципальных учреждений культуры (структурные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подразделения при централизованных клубных и библиотечных системах), а также ведомственных, народных и музеев, созданных при образовательных организациях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Организатором Конкурса является ГАУК «Оренбургский губернаторский историко-краеведческий музей» (далее — Оренбургский губернаторский музей) при поддержке министерства культуры Оренбургской области.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Настоящее положение определяет цели и задачи Конкурса, номинации и критерии оценки участников, условия участия и этапы проведения Конкурса, порядок награждения и поощрения победителей.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Представленные на Конкурс проекты могут охватывать широкий спектр деятельности, включая создание экспозиций, организацию тематических выставок, размещение информационных материалов на официальных интернет-платформах учреждения, проведение авторских экскурс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ий и другие формы музейных коммуникаций.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2. Цели и задачи Конкурса</w:t>
      </w:r>
      <w:r>
        <w:rPr>
          <w:color w:val="000000" w:themeColor="text1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2.1. Цель Конкурса —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определение и поддержка лучших музейных проектов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 изучению, сохранению и популяризации истории Оренбуржья,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развитие партнёрства между музеями и другими институциями, поддержка новых направлений и форм музейной работы.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2.2. Основными задачами Конкурса являются: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before="0"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создание условий для реализации личной творческой инициативы, содействие консолидации и развитию сообщества профессионалов, ориентированных на новое краеведение;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развитие музейных инициатив и интерактивных методов деятельности музеев;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содействие интерпретации культурного наследия региона в информационном пространстве;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содействие внедрению музейных технологий;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формирование открытости, преодоление локальной замкнутости ведомственных и других музеев;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укрепление и развитие единого музейного пространства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3. Сроки и порядок проведения Конкурса</w:t>
      </w:r>
      <w:r>
        <w:rPr>
          <w:color w:val="000000" w:themeColor="text1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color w:val="000000" w:themeColor="text1"/>
        </w:rPr>
      </w:r>
    </w:p>
    <w:p>
      <w:pPr>
        <w:ind w:left="0" w:right="0" w:firstLine="709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3.1. Конкурс проводится в три этапа: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3.1.1. В ходе первого, предварительного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этапа участники заполняют и отправляют заявки, презентацию проекта и согласие на обработку персональных данных. Формы заявки-анкеты и согласия размещены на официальном сайте Оренбургского губернаторского музе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я </w:t>
      </w:r>
      <w:hyperlink r:id="rId9" w:tooltip="file:///C:/Users/enn/AppData/Local/Microsoft/Windows/INetCache/Content.Outlook/BN7TVSYI/ogikm.ru" w:history="1">
        <w:r>
          <w:rPr>
            <w:rStyle w:val="822"/>
            <w:rFonts w:ascii="Times New Roman" w:hAnsi="Times New Roman" w:eastAsia="Times New Roman" w:cs="Times New Roman"/>
            <w:color w:val="000000" w:themeColor="text1"/>
            <w:sz w:val="28"/>
            <w:u w:val="none"/>
          </w:rPr>
          <w:t xml:space="preserve">ogikm.ru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Сроки проведения первого этапа: 3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сентября – 15 октября 2026 г.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3.1.2. В ходе второго этапа жюри Конкурса в соответствии с критериями осуществляет рассмотрение и оценку представленных материалов, определяет победителя в каждой номинации.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Сроки проведения второго этапа: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15 октября – 15 ноября 2026 г.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3.1.3. На третьем, заключительном, этапе Конкурса жюри подводит и оформляет его итоги, формирует материалы для награждения победителей. Оглашение результатов Конкурса и награждение победителей состоится в рамках Оренбургского музейного фестиваля.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Сроки проведения третьего этапа: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15–20 ноября 2026 г.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0"/>
        <w:jc w:val="center"/>
        <w:spacing w:after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0"/>
        <w:jc w:val="center"/>
        <w:spacing w:after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4. Порядок участия в Конкурсе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0"/>
        <w:jc w:val="center"/>
        <w:spacing w:after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4.1. Участниками Конкурса могут стать муниципальные музеи Оренбургской области и музеи, входящие в состав муниципальных учреждений культуры (структурные подразделения при централизованных клубных и библиотечных системах), а также ведомственные, народные му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зеи и музеи, созданные при образовательных организациях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На Конкурс принимаются проекты, реализованные за последние три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(2024, 2025, 2026 г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4.2. Для участия в Конкурсе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до 15 октября 2026 года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необходимо направить заполненную заявку, презентацию проекта и согласие на обработку персональных данных на электронную почту </w:t>
      </w:r>
      <w:hyperlink r:id="rId10" w:tooltip="mailto:konkurs@ogikm.ru" w:history="1">
        <w:r>
          <w:rPr>
            <w:rStyle w:val="822"/>
            <w:rFonts w:ascii="Times New Roman" w:hAnsi="Times New Roman" w:eastAsia="Times New Roman" w:cs="Times New Roman"/>
            <w:color w:val="000000" w:themeColor="text1"/>
            <w:sz w:val="28"/>
            <w:u w:val="none"/>
          </w:rPr>
          <w:t xml:space="preserve">konkurs@ogikm.ru</w:t>
        </w:r>
      </w:hyperlink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4.2.1. Требования к содержанию заявки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для участия в Конкурсе представлены в Приложении № 1 и размещены на официальном сайте Оренбургского губернаторского музея </w:t>
      </w:r>
      <w:hyperlink r:id="rId11" w:tooltip="file:///C:/Users/enn/AppData/Local/Microsoft/Windows/INetCache/Content.Outlook/BN7TVSYI/ogikm.ru" w:history="1">
        <w:r>
          <w:rPr>
            <w:rStyle w:val="822"/>
            <w:rFonts w:ascii="Times New Roman" w:hAnsi="Times New Roman" w:eastAsia="Times New Roman" w:cs="Times New Roman"/>
            <w:color w:val="000000" w:themeColor="text1"/>
            <w:sz w:val="28"/>
            <w:u w:val="none"/>
          </w:rPr>
          <w:t xml:space="preserve">ogikm.ru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4.2.2.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Фото (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не более 10 шт., в формате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jpg, не менее 300 dpi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) и видеоматериалы загружаются в отечественные файлообменники (российские облачные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хранилища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данных — ЯндексДиск, МайлОблако, СберДиск и т.д.), ссылка прикрепляется к Заявке участника.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4.3. На Конкурс музеи могут направить по одному проекту в каждой из номинаций (на каждую номинацию подаётся отдельная заявка-анкета).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4.4. Представленные на Конкурс документы и материалы не возвращаются.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5. Номинации Конкурса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5.1. На Конкурс представляются проекты по следующим номинациям: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2"/>
          <w:numId w:val="3"/>
        </w:numPr>
        <w:ind w:left="720" w:right="0" w:hanging="11"/>
        <w:jc w:val="both"/>
        <w:spacing w:before="0" w:after="0" w:line="85" w:lineRule="atLeast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Лучший проект, демонстрирующий идентичность территории (райо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на, города, села)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К участию принимаются проекты, ярко и образно интерпретирующие наследие и локальную историю территории, на которой расположен музей: временные выставки, просветительские циклы, мероприятия для местного сообщества, новые туристические маршруты и другие. Про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екты должны быть направлены на актуализацию местного историко-культурного наследия и способствовать привлечению новой аудитории.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 оценке проектов будут учитываться следующие критерии: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актуальность и оригинальность подачи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материала;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поддержка проекта местным сообществом, включённость его в реализацию проекта;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включённость в туристические маршруты;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востребованность туристическими фирмами и туристическими операторами;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green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• соответствие перечню традиционных ценностей России с обязательным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указанием пункта перечня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 Президента РФ от 9 ноября 2022 года № 809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 «Об утверждении Основ государственной политики по сохранению и укреплению традиционных россий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ских духовно-нравственных ценностей»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cyan"/>
        </w:rPr>
      </w:r>
      <w:r>
        <w:rPr>
          <w:color w:val="000000" w:themeColor="text1"/>
          <w:highlight w:val="cyan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  <w:t xml:space="preserve">При оценивании проектов в данной номинации предусмотрены дополнительные баллы за наличие обратной связи от местного сообщества (отзывы, благодарности, тексты, публикации, видеообращения). Обязательно прикрепить ссылки, фото или сканы документов</w:t>
      </w:r>
      <w:r>
        <w:rPr>
          <w:color w:val="000000" w:themeColor="text1"/>
          <w:highlight w:val="white"/>
        </w:rPr>
        <w:t xml:space="preserve">.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к</w:t>
      </w:r>
      <w:r>
        <w:rPr>
          <w:color w:val="000000" w:themeColor="text1"/>
          <w:highlight w:val="white"/>
        </w:rPr>
        <w:t xml:space="preserve">ж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ь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у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у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ч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с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з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в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р</w:t>
      </w:r>
      <w:r>
        <w:rPr>
          <w:color w:val="000000" w:themeColor="text1"/>
          <w:highlight w:val="white"/>
        </w:rPr>
        <w:t xml:space="preserve">ж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ё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й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ф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к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пополнения фондов музея в результате реализации проекта</w:t>
      </w:r>
      <w:r>
        <w:rPr>
          <w:color w:val="000000" w:themeColor="text1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2"/>
          <w:numId w:val="3"/>
        </w:numPr>
        <w:ind w:left="720" w:right="0" w:hanging="11"/>
        <w:jc w:val="both"/>
        <w:spacing w:before="0" w:after="0" w:line="85" w:lineRule="atLeast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Лучший проект военно-патриотической направленности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Выставочные, просветительские и исследовательские проекты, направленные на военно-патриотическое воспитание и историческое просвещение.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К участию принимаются проекты, цель которых — изучение истории военных событий и сохранение памяти о защитниках Отечества различных исторических периодов (от времён Российской империи до современной Отечественной истории),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 том числе посвящённые участникам специальной военной операции (СВО).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 оценке проектов будут учитываться следующие критерии: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•</w:t>
      </w:r>
      <w:commentRangeStart w:id="0"/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отображение в проекте местного компонента;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• актуальность и социальная значимость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проекта</w:t>
      </w:r>
      <w:commentRangeEnd w:id="0"/>
      <w:r>
        <w:commentReference w:id="0"/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• оригинальность подачи материала;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spacing w:after="0" w:line="85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•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включённость участников СВО и их семей в проекты, их отзывы и обратная связь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• соответствие перечню традиционных ценностей России с обязательным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указанием пункта перечня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 Президента РФ от 9 ноября 2022 года № 809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 «Об утверждении Основ государственной политики по сохранению и укреплению традиционных россий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ских духовно-нравственных ценностей»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left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  <w:t xml:space="preserve">При оценивании проектов в данной номинации предусмотрены дополнительные баллы за 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в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р</w:t>
      </w:r>
      <w:r>
        <w:rPr>
          <w:color w:val="000000" w:themeColor="text1"/>
          <w:highlight w:val="white"/>
        </w:rPr>
        <w:t xml:space="preserve">ж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ё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й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ф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к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пополнения фондов музея в результате реализации проекта</w:t>
      </w:r>
      <w:r>
        <w:rPr>
          <w:color w:val="000000" w:themeColor="text1"/>
          <w:highlight w:val="white"/>
        </w:rPr>
        <w:t xml:space="preserve">.</w:t>
      </w:r>
      <w:r>
        <w:rPr>
          <w:color w:val="000000" w:themeColor="text1"/>
          <w:highlight w:val="white"/>
        </w:rPr>
        <w:t xml:space="preserve"> Также баллы будут начислены за сбор полноценных коллекций (личных архивов) семей, отдельных людей.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left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</w:p>
    <w:p>
      <w:pPr>
        <w:numPr>
          <w:ilvl w:val="2"/>
          <w:numId w:val="3"/>
        </w:numPr>
        <w:ind w:left="720" w:right="0" w:hanging="11"/>
        <w:jc w:val="both"/>
        <w:spacing w:before="0" w:after="0" w:line="85" w:lineRule="atLeast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Лучший проект по Пушкинской карте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Проекты, реализованные в рамках программы социальной поддержки молодёжи в возрасте от 14 до 22 лет для повышения доступности организаций культуры.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 оценке проектов будут учитываться следующие критерии: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уникальность разработанного и внедрённого предложения;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• новизна тем и краеведческого компонента (новые для музея темы)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креативность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(нетипичные для музея темы и формы работы, но в связи с музеем);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посещаемость (количество реализованных билетов);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продвижение проекта на территории и каналы распространения;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• соответствие перечню традиционных ценностей России с обязательным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указанием пункта перечня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 Президента РФ от 9 ноября 2022 года № 809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 «Об утверждении Основ государственной политики по сохранению и укреплению традиционных россий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ских духовно-нравственных ценностей»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left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color w:val="000000" w:themeColor="text1"/>
          <w:highlight w:val="white"/>
        </w:rPr>
        <w:t xml:space="preserve">При оценивании проектов в данной номинации предусмотрены дополнительные баллы за наличие обратной связи от местного сообщества (отзывы, благодарности, тексты, публикации, видеообращения). Обязательно прикрепить ссылки, фото или сканы документов</w:t>
      </w:r>
      <w:r>
        <w:rPr>
          <w:color w:val="000000" w:themeColor="text1"/>
          <w:highlight w:val="white"/>
        </w:rPr>
        <w:t xml:space="preserve">.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red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red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red"/>
        </w:rPr>
      </w:r>
    </w:p>
    <w:p>
      <w:pPr>
        <w:numPr>
          <w:ilvl w:val="2"/>
          <w:numId w:val="3"/>
        </w:numPr>
        <w:ind w:left="720" w:right="0" w:hanging="11"/>
        <w:jc w:val="both"/>
        <w:spacing w:before="0" w:after="0" w:line="85" w:lineRule="atLeast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Лучший партнёрский проект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Проекты, реализованные с вовлечением местного сообщества во все направления музейной уставной деятельности, в том числе сетевые культурные и кросскультурные проекты. В качестве партнёров могут выступать: учреждения внекультурной сферы, средства массовой ин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формации, некоммерческие организации, представители бизнеса или власти. </w:t>
      </w:r>
      <w:r>
        <w:rPr>
          <w:color w:val="000000" w:themeColor="text1"/>
          <w:highlight w:val="green"/>
        </w:rPr>
      </w:r>
      <w:r>
        <w:rPr>
          <w:color w:val="000000" w:themeColor="text1"/>
          <w:highlight w:val="green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Важно! В номинации не рассматриваются межмузейные партнёрские проекты.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 оценке проектов будут учитываться следующие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критерии: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ориентированность/степень включённости партнёра в реализацию совместного проекта;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уникальность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разработанного и внедрённого культурного продукта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(в пределах поселения, Оренбургской области и в масштабе нашей страны — по дополнительному баллу за каждый уровень);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• наличие финансовой/материальной составляющей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сотрудничества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(дополнительно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указать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нематериальный вклад);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• уровень освещённости в СМИ, информация о взаимодействии в соцсетях и мессенджерах партнёра музея (ссылки обязательны);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 соответствие перечню традиционных ценностей России с обязательным указанием пункта перечня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 Президента РФ от 9 ноября 2022 года № 809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 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highlight w:val="white"/>
        </w:rPr>
        <w:t xml:space="preserve">При оценивании проектов в данной номинации предусмотрены дополнительные баллы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з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р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р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с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с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материального и нематериального</w:t>
      </w:r>
      <w:r>
        <w:rPr>
          <w:color w:val="000000" w:themeColor="text1"/>
          <w:highlight w:val="white"/>
        </w:rPr>
        <w:t xml:space="preserve"> вклада в проект (</w:t>
      </w:r>
      <w:r>
        <w:rPr>
          <w:color w:val="000000" w:themeColor="text1"/>
          <w:highlight w:val="white"/>
        </w:rPr>
        <w:t xml:space="preserve">физический труд, материалы, оборудование, помещение, аренда и т.д.). 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к</w:t>
      </w:r>
      <w:r>
        <w:rPr>
          <w:color w:val="000000" w:themeColor="text1"/>
          <w:highlight w:val="white"/>
        </w:rPr>
        <w:t xml:space="preserve">ж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ь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у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у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ч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с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з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в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р</w:t>
      </w:r>
      <w:r>
        <w:rPr>
          <w:color w:val="000000" w:themeColor="text1"/>
          <w:highlight w:val="white"/>
        </w:rPr>
        <w:t xml:space="preserve">ж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ё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й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ф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к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пополнения фондов музея в результате реализации проекта</w:t>
      </w:r>
      <w:r>
        <w:rPr>
          <w:color w:val="000000" w:themeColor="text1"/>
          <w:highlight w:val="white"/>
        </w:rPr>
        <w:t xml:space="preserve">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2"/>
          <w:numId w:val="3"/>
        </w:numPr>
        <w:ind w:left="720" w:right="0" w:hanging="11"/>
        <w:jc w:val="both"/>
        <w:spacing w:after="0" w:line="85" w:lineRule="atLeast"/>
        <w:rPr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Лучший проект, посвящённый Году единства народов России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Принимаются выставочные, просветительские и исследовательские проекты, направленные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общность, сплочение народностей, проживающих на территории поселений, пропагандирующие преемственность поколений, патриотизм и единство территорий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нашего многонационального государства.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ы,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рассказывающие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историю «малой родины» как уникальной части большой страны, где этнографическое многообразие не разделяет, а создаёт общую идентичность.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 подаче заявки обязательно указывать национальное сообщество, с которым работает музей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(в случае его участия в проекте).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 оценке проектов будут учитываться следующие критерии: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/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соответствие идее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Года единства народов России;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уникальность разработанного и внедрённого культурного продукта;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оригинальность формы и методов работы;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 соответствие перечню традиционных ценностей России с обязательным указанием пункта перечня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 Президента РФ от 9 ноября 2022 года № 809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 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highlight w:val="white"/>
        </w:rPr>
        <w:t xml:space="preserve">При оценивании проектов в данной номинации предусмотрены дополнительные баллы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з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включённость </w:t>
      </w:r>
      <w:r>
        <w:rPr>
          <w:color w:val="000000" w:themeColor="text1"/>
          <w:highlight w:val="white"/>
        </w:rPr>
        <w:t xml:space="preserve">в проект тематических коллекций</w:t>
      </w:r>
      <w:r>
        <w:rPr>
          <w:color w:val="000000" w:themeColor="text1"/>
          <w:highlight w:val="white"/>
        </w:rPr>
        <w:t xml:space="preserve">. 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к</w:t>
      </w:r>
      <w:r>
        <w:rPr>
          <w:color w:val="000000" w:themeColor="text1"/>
          <w:highlight w:val="white"/>
        </w:rPr>
        <w:t xml:space="preserve">ж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п</w:t>
      </w:r>
      <w:r>
        <w:rPr>
          <w:color w:val="000000" w:themeColor="text1"/>
          <w:highlight w:val="white"/>
        </w:rPr>
        <w:t xml:space="preserve">о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ь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б</w:t>
      </w:r>
      <w:r>
        <w:rPr>
          <w:color w:val="000000" w:themeColor="text1"/>
          <w:highlight w:val="white"/>
        </w:rPr>
        <w:t xml:space="preserve">у</w:t>
      </w:r>
      <w:r>
        <w:rPr>
          <w:color w:val="000000" w:themeColor="text1"/>
          <w:highlight w:val="white"/>
        </w:rPr>
        <w:t xml:space="preserve">д</w:t>
      </w:r>
      <w:r>
        <w:rPr>
          <w:color w:val="000000" w:themeColor="text1"/>
          <w:highlight w:val="white"/>
        </w:rPr>
        <w:t xml:space="preserve">у</w:t>
      </w:r>
      <w:r>
        <w:rPr>
          <w:color w:val="000000" w:themeColor="text1"/>
          <w:highlight w:val="white"/>
        </w:rPr>
        <w:t xml:space="preserve">т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ч</w:t>
      </w:r>
      <w:r>
        <w:rPr>
          <w:color w:val="000000" w:themeColor="text1"/>
          <w:highlight w:val="white"/>
        </w:rPr>
        <w:t xml:space="preserve">и</w:t>
      </w:r>
      <w:r>
        <w:rPr>
          <w:color w:val="000000" w:themeColor="text1"/>
          <w:highlight w:val="white"/>
        </w:rPr>
        <w:t xml:space="preserve">с</w:t>
      </w:r>
      <w:r>
        <w:rPr>
          <w:color w:val="000000" w:themeColor="text1"/>
          <w:highlight w:val="white"/>
        </w:rPr>
        <w:t xml:space="preserve">л</w:t>
      </w:r>
      <w:r>
        <w:rPr>
          <w:color w:val="000000" w:themeColor="text1"/>
          <w:highlight w:val="white"/>
        </w:rPr>
        <w:t xml:space="preserve">е</w:t>
      </w:r>
      <w:r>
        <w:rPr>
          <w:color w:val="000000" w:themeColor="text1"/>
          <w:highlight w:val="white"/>
        </w:rPr>
        <w:t xml:space="preserve">н</w:t>
      </w:r>
      <w:r>
        <w:rPr>
          <w:color w:val="000000" w:themeColor="text1"/>
          <w:highlight w:val="white"/>
        </w:rPr>
        <w:t xml:space="preserve">ы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з</w:t>
      </w:r>
      <w:r>
        <w:rPr>
          <w:color w:val="000000" w:themeColor="text1"/>
          <w:highlight w:val="white"/>
        </w:rPr>
        <w:t xml:space="preserve">а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включённость местных национальных сообществ и подтверждённую обратную связь от них.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2"/>
          <w:numId w:val="3"/>
        </w:numPr>
        <w:ind w:left="720" w:right="0" w:hanging="11"/>
        <w:jc w:val="both"/>
        <w:spacing w:after="0" w:line="85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Лучший проект, направленный на поддержку семейных ценностей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after="0" w:line="85" w:lineRule="atLeast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Проекты (выставки, экскурсии, программы, циклы событий, интерактивные зоны, цифровые продукты), направленные на укрепление института семьи, популяризацию семейных традиций, совместного досуга и межпоколенческого диалога через музейные средства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абота с многодетными семьями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strike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trike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trike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trike/>
          <w:color w:val="000000" w:themeColor="text1"/>
          <w:sz w:val="28"/>
          <w:szCs w:val="28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Критерии оценивания: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вовлечённость семей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ориентация на разные поколения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работа с личными семейными историями (включённость личных коллекций, предоставление личных вещей)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работа с предметом как катализатором общения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•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• соответствие перечню традиционных ценностей России с обязательным указанием пункта перечня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Указ Президента РФ от 9 ноября 2022 года № 809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after="0" w:line="85" w:lineRule="atLeast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 оц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нивании проектов в данной номинации предусмотрены дополнительные баллы за наличие обратной связи от участников проекта, целевой аудитории (отзывы, благодарности, тексты, публикации, видеообращения). Обязательно прикрепить ссылки, фото или сканы документов.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cyan"/>
        </w:rPr>
      </w:r>
    </w:p>
    <w:p>
      <w:pPr>
        <w:ind w:left="720" w:right="0" w:firstLine="0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2"/>
          <w:numId w:val="3"/>
        </w:numPr>
        <w:ind w:left="720" w:right="0" w:hanging="11"/>
        <w:jc w:val="both"/>
        <w:spacing w:after="0" w:line="85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Лучшие практики школьных и ведомственных музеев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53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Проекты и практики, направленные на вовлечение учащихся в краеведческую деятельность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экскурсоводческую, фондовую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иную музейную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деятельность.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720" w:right="0" w:firstLine="0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К участию приглашаются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народные музеи и музеи, созданные при образовательных организациях Оренбургской области.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</w:p>
    <w:p>
      <w:pPr>
        <w:ind w:left="720" w:right="0" w:firstLine="0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2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Критерии оценивания: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commentRangeStart w:id="1"/>
      <w:r/>
      <w:commentRangeEnd w:id="1"/>
      <w:r>
        <w:commentReference w:id="1"/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• степень вовлечённости учащихся в деятельность музея;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• охват и разнообразие возрастных групп;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• наставничество (преемственность от старших к младшим учащимся);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• оригинальность материала;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• музейная эстетика (уникальность фондов, экспозиционная логика, визуальная подача)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• результативность, перспективы, жизнеспособность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• статистика посещения музея (количество экскурсий);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• наличие групп и каналов музея в социальных сетях и мессенджерах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cyan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Дополнительные баллы за подтверждённое участие учащихся в оформлении музея, разработке дизайна, разработке и вёрстке печатной продукции, сувениров, разработке и внедрению программных продуктов.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Отдельные критерии для ведомственных музеев: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•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вовлечение в деятельность музея профессионального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ведомственного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сообщества;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• статистика посещения музея (количество экскурсий);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• участие музея в профориентировании учащихся учебных заведений города и области (раскрыть формы и методы работы);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• информационное содействие деятельности музея учреждения (ведомства), в структуре которого находится музей.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spacing w:before="0"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6. Работа жюри и порядок определения победителей</w:t>
      </w:r>
      <w:r>
        <w:rPr>
          <w:color w:val="000000" w:themeColor="text1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6.1. Жюри самостоятельно определяет порядок своей работы, в том числе порядок голосования и определения победителей Конкурса.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6.2. Члены жюри Конкурса оценивают конкурсантов по каждой номинации по пятибалльной системе на основании критериев оценок по каждой номинации. Победитель Конкурса определяется путём суммирования набранных баллов.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6.3. Жюри оставляет за собой право перераспределения призового фонда и выделения специальных и дополнительных призов.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6.4. Награждение победителей Конкурса состоится в торжественной обстановке на Оренбургском музейном фестивале.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6.5. Победители Конкурса награждаются дипломами и ценными призами от организатора и партнёров Конкурса.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0"/>
        <w:spacing w:after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center"/>
        <w:spacing w:after="0" w:line="85" w:lineRule="atLeas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7. Организатор Конкурса</w:t>
      </w:r>
      <w:r>
        <w:rPr>
          <w:color w:val="000000" w:themeColor="text1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7.1. Организатором Конкурса является ГАУК «Оренбургский губернаторский историко-краеведческий музей», 460000, г. Оренбург, ул. Советская, 28, </w:t>
      </w:r>
      <w:hyperlink r:id="rId12" w:tooltip="mailto:museum@ogikm.ru" w:history="1">
        <w:r>
          <w:rPr>
            <w:rStyle w:val="822"/>
            <w:rFonts w:ascii="Times New Roman" w:hAnsi="Times New Roman" w:eastAsia="Times New Roman" w:cs="Times New Roman"/>
            <w:color w:val="000000" w:themeColor="text1"/>
            <w:sz w:val="28"/>
            <w:u w:val="none"/>
          </w:rPr>
          <w:t xml:space="preserve">museum@ogikm.ru</w:t>
        </w:r>
      </w:hyperlink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7.2. Координатор Конкурса: Панфилова Татьяна — заведующая информационно-издательским отделом ГАУК «Оренбургский губернаторский историко-краеведческий музей», контактные телефоны: +7 (3532) 77-56-69, +7 961 924-55-72.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shd w:val="nil" w:color="auto"/>
        <w:rPr>
          <w:color w:val="000000" w:themeColor="text1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right"/>
        <w:spacing w:after="0" w:line="85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Приложение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85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09"/>
        <w:jc w:val="both"/>
        <w:spacing w:after="0" w:line="85" w:lineRule="atLeast"/>
        <w:rPr>
          <w:b/>
          <w:bCs/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  <w:t xml:space="preserve">Требования к содержанию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  <w:t xml:space="preserve"> заявки на участие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Оренбургском областном конкурсе музейных проектов: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  <w:t xml:space="preserve"> </w:t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>
      <w:pPr>
        <w:ind w:left="0" w:right="0" w:firstLine="851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5"/>
        </w:numPr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Полное наименование музея.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5"/>
        </w:numPr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ФИО руководителя.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5"/>
        </w:numPr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Электронная почта музея.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5"/>
        </w:numPr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Официальный сайт музея.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5"/>
        </w:numPr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Указание автора(ов) проекта: ФИО, должность, электронная почта, стационарный и мобильный телефоны с указанием кода населённого пункта.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0" w:firstLine="851"/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</w:p>
    <w:p>
      <w:pPr>
        <w:ind w:left="0" w:right="0" w:firstLine="851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single"/>
        </w:rPr>
        <w:t xml:space="preserve">Содержание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должно включать:</w:t>
      </w:r>
      <w:r>
        <w:rPr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Полное название номинации.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Полное название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Краткое содержание (аннотация)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Цели и задачи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Временные рамки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Музейный контекст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Новизна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Актуальность и обоснование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Партнёры проекта (при наличии).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Масштаб проекта (охват аудитории, сведения о статистике).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Формы и методы взаимодействия с местным сообществом.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numPr>
          <w:ilvl w:val="0"/>
          <w:numId w:val="6"/>
        </w:numPr>
        <w:jc w:val="both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Перспективы развития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К заявке, по желанию участника Конкурса, может быть приложена мультимедийная презентация (не более 10 слайдов), а также видеоролик о проекте (продолжительность видеоролика не должна превышать 2 минуты).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Краткое содержание (аннотация) проекта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— это лаконичное и структурированное изложение его ключевых аспектов. Аннотация даёт ясное и полное представление о содержании и значимости работы автора(ов). Главная цель аннотации — обеспечить быстрое и точное понимание основных положений проекта. Это по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могает оценить его важность в контексте музейной работы. Объём аннотации — не более 1000 символов.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Цели музейного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— это фундаментальные ориентиры и результаты, которые определяют основное направление работы автора(ов) в рамках обозначенного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Задачи музейного проекта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— это конкретные действия и шаги, которые были выполнены для достижения поставленных целей. Они могут включать в себя разработку концепции новой экспозиции, тематико-экспозиционного плана, подбор экспонатов, научно-фондовую работу, создание текста экскурси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и, мультимедийных материалов, организацию выставок, лекций, разработку интерактивных элементов для посетителей и многое другое.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Музейный контекст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— обязательное включение фондовых предметов и экспонатов, интеграция музейных артефактов, демонстрация музейных коллекций в проектной деятельности. Использование фондовых предметов в музейном проекте является важным аспектом, обеспечивающим научную и обра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зовательную значимость.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Новизна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показывает, насколько он оригинален и инновационен по сравнению с уже существующими решениями. Она подчёркивает его отличие от предыдущих исследований и реализованных проектов. Проект может предложить новые подходы и решения, которые будут полезны в практ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ической музейной работе.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right="-23" w:firstLine="851"/>
        <w:jc w:val="both"/>
        <w:spacing w:before="200" w:after="0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Актуальность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— это его соответствие текущим потребностям и вызовам в музейной сфере. Она показывает, насколько проект важен для решения актуальных проблем и удовлетворения общественных запросов. Обоснование актуальности проекта включает анализ проблемы, постановку цел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ей и задач для её решения, а также выбор методов и подходов.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964" w:left="1418" w:header="708" w:footer="708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Татьяна Панфилова" w:date="2026-06-16T11:53:00Z" w:initials="ТП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Посмотрите, поджалуйста, критерии</w:t>
      </w:r>
    </w:p>
  </w:comment>
  <w:comment w:id="0" w:author="Татьяна Панфилова" w:date="2026-06-16T11:25:06Z" w:initials="ТП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возможно нужно добавить новые критерии в учётом добавления строчки по СВО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D449E02" w16cex:dateUtc="2026-06-16T06:53:00Z"/>
  <w16cex:commentExtensible w16cex:durableId="338FA251" w16cex:dateUtc="2026-06-16T06:25:0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D449E02"/>
  <w16cid:commentId w16cid:paraId="00000002" w16cid:durableId="338FA25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тьяна Панфилова">
    <w15:presenceInfo w15:providerId="Teamlab" w15:userId="uid25654789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843"/>
    <w:link w:val="840"/>
    <w:uiPriority w:val="9"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843"/>
    <w:link w:val="841"/>
    <w:uiPriority w:val="9"/>
    <w:rPr>
      <w:rFonts w:ascii="Arial" w:hAnsi="Arial" w:eastAsia="Arial" w:cs="Arial"/>
      <w:sz w:val="34"/>
    </w:rPr>
  </w:style>
  <w:style w:type="character" w:styleId="670">
    <w:name w:val="Heading 3 Char"/>
    <w:basedOn w:val="843"/>
    <w:link w:val="842"/>
    <w:uiPriority w:val="9"/>
    <w:rPr>
      <w:rFonts w:ascii="Arial" w:hAnsi="Arial" w:eastAsia="Arial" w:cs="Arial"/>
      <w:sz w:val="30"/>
      <w:szCs w:val="30"/>
    </w:rPr>
  </w:style>
  <w:style w:type="paragraph" w:styleId="671">
    <w:name w:val="Heading 4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2">
    <w:name w:val="Heading 4 Char"/>
    <w:basedOn w:val="843"/>
    <w:link w:val="671"/>
    <w:uiPriority w:val="9"/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4">
    <w:name w:val="Heading 5 Char"/>
    <w:basedOn w:val="843"/>
    <w:link w:val="673"/>
    <w:uiPriority w:val="9"/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6">
    <w:name w:val="Heading 6 Char"/>
    <w:basedOn w:val="843"/>
    <w:link w:val="675"/>
    <w:uiPriority w:val="9"/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>
    <w:name w:val="Heading 7 Char"/>
    <w:basedOn w:val="843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9">
    <w:name w:val="Heading 8"/>
    <w:basedOn w:val="839"/>
    <w:next w:val="839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0">
    <w:name w:val="Heading 8 Char"/>
    <w:basedOn w:val="843"/>
    <w:link w:val="679"/>
    <w:uiPriority w:val="9"/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839"/>
    <w:next w:val="839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>
    <w:name w:val="Heading 9 Char"/>
    <w:basedOn w:val="843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Title"/>
    <w:basedOn w:val="839"/>
    <w:next w:val="839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3"/>
    <w:link w:val="683"/>
    <w:uiPriority w:val="10"/>
    <w:rPr>
      <w:sz w:val="48"/>
      <w:szCs w:val="48"/>
    </w:rPr>
  </w:style>
  <w:style w:type="paragraph" w:styleId="685">
    <w:name w:val="Subtitle"/>
    <w:basedOn w:val="839"/>
    <w:next w:val="839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3"/>
    <w:link w:val="685"/>
    <w:uiPriority w:val="11"/>
    <w:rPr>
      <w:sz w:val="24"/>
      <w:szCs w:val="24"/>
    </w:rPr>
  </w:style>
  <w:style w:type="paragraph" w:styleId="687">
    <w:name w:val="Quote"/>
    <w:basedOn w:val="839"/>
    <w:next w:val="839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9"/>
    <w:next w:val="839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3"/>
    <w:link w:val="691"/>
    <w:uiPriority w:val="99"/>
  </w:style>
  <w:style w:type="paragraph" w:styleId="693">
    <w:name w:val="Footer"/>
    <w:basedOn w:val="839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3"/>
    <w:link w:val="693"/>
    <w:uiPriority w:val="99"/>
  </w:style>
  <w:style w:type="character" w:styleId="695">
    <w:name w:val="Caption Char"/>
    <w:basedOn w:val="843"/>
    <w:link w:val="849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"/>
    <w:basedOn w:val="84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39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3"/>
    <w:uiPriority w:val="99"/>
    <w:unhideWhenUsed/>
    <w:rPr>
      <w:vertAlign w:val="superscript"/>
    </w:rPr>
  </w:style>
  <w:style w:type="paragraph" w:styleId="826">
    <w:name w:val="endnote text"/>
    <w:basedOn w:val="839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3"/>
    <w:uiPriority w:val="99"/>
    <w:semiHidden/>
    <w:unhideWhenUsed/>
    <w:rPr>
      <w:vertAlign w:val="superscript"/>
    </w:rPr>
  </w:style>
  <w:style w:type="paragraph" w:styleId="829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  <w:rPr>
      <w:rFonts w:ascii="Times New Roman" w:hAnsi="Times New Roman"/>
      <w:sz w:val="28"/>
    </w:rPr>
  </w:style>
  <w:style w:type="paragraph" w:styleId="840">
    <w:name w:val="Heading 1"/>
    <w:basedOn w:val="839"/>
    <w:next w:val="839"/>
    <w:link w:val="84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41">
    <w:name w:val="Heading 2"/>
    <w:basedOn w:val="839"/>
    <w:next w:val="839"/>
    <w:link w:val="847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842">
    <w:name w:val="Heading 3"/>
    <w:basedOn w:val="839"/>
    <w:next w:val="839"/>
    <w:link w:val="848"/>
    <w:uiPriority w:val="9"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character" w:styleId="846" w:customStyle="1">
    <w:name w:val="Заголовок 1 Знак"/>
    <w:basedOn w:val="843"/>
    <w:link w:val="84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47" w:customStyle="1">
    <w:name w:val="Заголовок 2 Знак"/>
    <w:basedOn w:val="843"/>
    <w:link w:val="841"/>
    <w:uiPriority w:val="9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848" w:customStyle="1">
    <w:name w:val="Заголовок 3 Знак"/>
    <w:basedOn w:val="843"/>
    <w:link w:val="842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849">
    <w:name w:val="Caption"/>
    <w:basedOn w:val="839"/>
    <w:next w:val="839"/>
    <w:link w:val="695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850">
    <w:name w:val="No Spacing"/>
    <w:uiPriority w:val="1"/>
    <w:qFormat/>
    <w:pPr>
      <w:spacing w:after="0" w:line="240" w:lineRule="auto"/>
    </w:pPr>
    <w:rPr>
      <w:lang w:val="en-US"/>
    </w:rPr>
  </w:style>
  <w:style w:type="paragraph" w:styleId="851">
    <w:name w:val="List Paragraph"/>
    <w:basedOn w:val="839"/>
    <w:uiPriority w:val="34"/>
    <w:qFormat/>
    <w:pPr>
      <w:contextualSpacing/>
      <w:ind w:left="720"/>
    </w:pPr>
    <w:rPr>
      <w:lang w:val="en-US"/>
    </w:rPr>
  </w:style>
  <w:style w:type="paragraph" w:styleId="852">
    <w:name w:val="TOC Heading"/>
    <w:basedOn w:val="840"/>
    <w:next w:val="839"/>
    <w:uiPriority w:val="39"/>
    <w:unhideWhenUsed/>
    <w:pPr>
      <w:outlineLvl w:val="9"/>
    </w:pPr>
    <w:rPr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file:///C:/Users/enn/AppData/Local/Microsoft/Windows/INetCache/Content.Outlook/BN7TVSYI/ogikm.ru" TargetMode="External"/><Relationship Id="rId10" Type="http://schemas.openxmlformats.org/officeDocument/2006/relationships/hyperlink" Target="mailto:konkurs@ogikm.ru" TargetMode="External"/><Relationship Id="rId11" Type="http://schemas.openxmlformats.org/officeDocument/2006/relationships/hyperlink" Target="file:///C:/Users/enn/AppData/Local/Microsoft/Windows/INetCache/Content.Outlook/BN7TVSYI/ogikm.ru" TargetMode="External"/><Relationship Id="rId12" Type="http://schemas.openxmlformats.org/officeDocument/2006/relationships/hyperlink" Target="mailto:museum@ogikm.ru" TargetMode="External"/><Relationship Id="rId13" Type="http://schemas.openxmlformats.org/officeDocument/2006/relationships/comments" Target="comments.xml" /><Relationship Id="rId14" Type="http://schemas.microsoft.com/office/2011/relationships/commentsExtended" Target="commentsExtended.xml" /><Relationship Id="rId15" Type="http://schemas.microsoft.com/office/2018/08/relationships/commentsExtensible" Target="commentsExtensible.xml" /><Relationship Id="rId16" Type="http://schemas.microsoft.com/office/2016/09/relationships/commentsIds" Target="commentsIds.xml" /><Relationship Id="rId17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cloud.mail.ru</dc:creator>
  <cp:lastModifiedBy>Ольга Першина</cp:lastModifiedBy>
  <cp:revision>11</cp:revision>
  <dcterms:created xsi:type="dcterms:W3CDTF">2021-02-08T09:00:00Z</dcterms:created>
  <dcterms:modified xsi:type="dcterms:W3CDTF">2026-09-11T09:12:36Z</dcterms:modified>
</cp:coreProperties>
</file>